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5C" w:rsidRPr="00763C1B" w:rsidRDefault="002A265C" w:rsidP="002A265C">
      <w:pPr>
        <w:widowControl w:val="0"/>
        <w:tabs>
          <w:tab w:val="center" w:pos="4680"/>
          <w:tab w:val="right" w:pos="9360"/>
        </w:tabs>
        <w:kinsoku w:val="0"/>
        <w:jc w:val="center"/>
      </w:pPr>
      <w:r>
        <w:rPr>
          <w:noProof/>
        </w:rPr>
        <w:drawing>
          <wp:inline distT="0" distB="0" distL="0" distR="0">
            <wp:extent cx="4572000" cy="1102995"/>
            <wp:effectExtent l="0" t="0" r="0" b="1905"/>
            <wp:docPr id="1" name="Picture 1" descr="M:\_gr_common\LETTERHEAD\LAT Headers\2017 NJEA P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gr_common\LETTERHEAD\LAT Headers\2017 NJEA PAC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102995"/>
                    </a:xfrm>
                    <a:prstGeom prst="rect">
                      <a:avLst/>
                    </a:prstGeom>
                    <a:noFill/>
                    <a:ln>
                      <a:noFill/>
                    </a:ln>
                  </pic:spPr>
                </pic:pic>
              </a:graphicData>
            </a:graphic>
          </wp:inline>
        </w:drawing>
      </w:r>
    </w:p>
    <w:p w:rsidR="002A265C" w:rsidRPr="00763C1B" w:rsidRDefault="002A265C" w:rsidP="002A265C">
      <w:pPr>
        <w:spacing w:line="293" w:lineRule="exact"/>
        <w:ind w:left="720"/>
        <w:rPr>
          <w:rFonts w:ascii="Calibri" w:eastAsia="Calibri" w:hAnsi="Calibri"/>
          <w:i/>
          <w:iCs/>
          <w:color w:val="17365D"/>
          <w:spacing w:val="-10"/>
          <w:sz w:val="27"/>
          <w:szCs w:val="27"/>
        </w:rPr>
      </w:pPr>
      <w:r w:rsidRPr="00763C1B">
        <w:rPr>
          <w:rFonts w:ascii="Calibri" w:eastAsia="Calibri" w:hAnsi="Calibri"/>
          <w:i/>
          <w:iCs/>
          <w:color w:val="17365D"/>
          <w:spacing w:val="-10"/>
          <w:sz w:val="27"/>
          <w:szCs w:val="27"/>
        </w:rPr>
        <w:t>The Non-Partisan Voluntary Voice of New Jersey Education Association Members</w:t>
      </w:r>
    </w:p>
    <w:p w:rsidR="002A265C" w:rsidRPr="00763C1B" w:rsidRDefault="002A265C" w:rsidP="002A265C">
      <w:pPr>
        <w:ind w:right="-576"/>
        <w:rPr>
          <w:rFonts w:ascii="Bookman Old Style" w:eastAsia="Calibri" w:hAnsi="Bookman Old Style"/>
          <w:color w:val="17365D"/>
          <w:spacing w:val="-2"/>
          <w:sz w:val="16"/>
          <w:szCs w:val="22"/>
          <w:u w:val="single"/>
        </w:rPr>
      </w:pPr>
      <w:r w:rsidRPr="00763C1B">
        <w:rPr>
          <w:rFonts w:ascii="Bookman Old Style" w:eastAsia="Calibri" w:hAnsi="Bookman Old Style"/>
          <w:color w:val="17365D"/>
          <w:spacing w:val="-2"/>
          <w:sz w:val="16"/>
          <w:szCs w:val="22"/>
          <w:u w:val="single"/>
        </w:rPr>
        <w:t>180 WEST STATE STREET • POST OFFICE BOX 1211 • TRENTON, NJ 08607-1211 • 609-599-4561 • FAX: 609-394-3355</w:t>
      </w:r>
    </w:p>
    <w:p w:rsidR="002A265C" w:rsidRPr="00763C1B" w:rsidRDefault="002A265C" w:rsidP="002A265C">
      <w:pPr>
        <w:rPr>
          <w:rFonts w:ascii="Calibri" w:eastAsia="Calibri" w:hAnsi="Calibri"/>
          <w:sz w:val="22"/>
          <w:szCs w:val="22"/>
        </w:rPr>
      </w:pPr>
    </w:p>
    <w:p w:rsidR="00217B32" w:rsidRDefault="00217B32" w:rsidP="002A265C">
      <w:pPr>
        <w:jc w:val="center"/>
        <w:rPr>
          <w:rFonts w:ascii="Garamond" w:hAnsi="Garamond"/>
          <w:b/>
          <w:sz w:val="22"/>
          <w:szCs w:val="22"/>
        </w:rPr>
      </w:pPr>
    </w:p>
    <w:p w:rsidR="00217B32" w:rsidRDefault="00217B32" w:rsidP="002A265C">
      <w:pPr>
        <w:jc w:val="center"/>
        <w:rPr>
          <w:rFonts w:ascii="Garamond" w:hAnsi="Garamond"/>
          <w:b/>
          <w:sz w:val="22"/>
          <w:szCs w:val="22"/>
        </w:rPr>
      </w:pPr>
    </w:p>
    <w:p w:rsidR="002A265C" w:rsidRPr="009961EB" w:rsidRDefault="002A265C" w:rsidP="002A265C">
      <w:pPr>
        <w:jc w:val="center"/>
        <w:rPr>
          <w:rFonts w:ascii="Garamond" w:hAnsi="Garamond"/>
          <w:b/>
          <w:sz w:val="22"/>
          <w:szCs w:val="22"/>
        </w:rPr>
      </w:pPr>
      <w:r w:rsidRPr="009961EB">
        <w:rPr>
          <w:rFonts w:ascii="Garamond" w:hAnsi="Garamond"/>
          <w:b/>
          <w:sz w:val="22"/>
          <w:szCs w:val="22"/>
        </w:rPr>
        <w:t>PUBLIC QUESTION</w:t>
      </w:r>
    </w:p>
    <w:p w:rsidR="001B7CF1" w:rsidRDefault="001B7CF1" w:rsidP="00217B32">
      <w:bookmarkStart w:id="0" w:name="_GoBack"/>
      <w:bookmarkEnd w:id="0"/>
    </w:p>
    <w:p w:rsidR="002A265C" w:rsidRPr="002A265C" w:rsidRDefault="002A265C" w:rsidP="002A265C">
      <w:pPr>
        <w:rPr>
          <w:rFonts w:ascii="Garamond" w:hAnsi="Garamond"/>
          <w:sz w:val="22"/>
          <w:szCs w:val="22"/>
        </w:rPr>
      </w:pPr>
      <w:r w:rsidRPr="002A265C">
        <w:rPr>
          <w:rFonts w:ascii="Garamond" w:hAnsi="Garamond"/>
          <w:b/>
          <w:sz w:val="22"/>
          <w:szCs w:val="22"/>
        </w:rPr>
        <w:t xml:space="preserve">New Jersey Revenue from Environmental Damage Lawsuits Dedicated to Environmental Projects </w:t>
      </w:r>
      <w:r w:rsidRPr="002A265C">
        <w:rPr>
          <w:rFonts w:ascii="Garamond" w:hAnsi="Garamond"/>
          <w:sz w:val="22"/>
          <w:szCs w:val="22"/>
        </w:rPr>
        <w:t>(approved for November 2017)</w:t>
      </w:r>
    </w:p>
    <w:p w:rsidR="002A265C" w:rsidRPr="002A265C" w:rsidRDefault="002A265C" w:rsidP="002A265C">
      <w:pPr>
        <w:rPr>
          <w:rFonts w:ascii="Garamond" w:hAnsi="Garamond"/>
          <w:sz w:val="22"/>
          <w:szCs w:val="22"/>
        </w:rPr>
      </w:pPr>
      <w:r w:rsidRPr="002A265C">
        <w:rPr>
          <w:rFonts w:ascii="Garamond" w:hAnsi="Garamond"/>
          <w:sz w:val="22"/>
          <w:szCs w:val="22"/>
        </w:rPr>
        <w:t>SCR-39 (2016-2017)</w:t>
      </w:r>
    </w:p>
    <w:p w:rsidR="002A265C" w:rsidRPr="002A265C" w:rsidRDefault="002A265C" w:rsidP="002A265C">
      <w:pPr>
        <w:rPr>
          <w:rFonts w:ascii="Garamond" w:hAnsi="Garamond"/>
          <w:sz w:val="22"/>
          <w:szCs w:val="22"/>
        </w:rPr>
      </w:pPr>
      <w:r w:rsidRPr="002A265C">
        <w:rPr>
          <w:rFonts w:ascii="Garamond" w:hAnsi="Garamond"/>
          <w:sz w:val="22"/>
          <w:szCs w:val="22"/>
        </w:rPr>
        <w:t>Passed Senate (28-8), Assembly (56-18-3), 12-19-16.</w:t>
      </w:r>
    </w:p>
    <w:p w:rsidR="002A265C" w:rsidRPr="002A265C" w:rsidRDefault="002A265C" w:rsidP="002A265C">
      <w:pPr>
        <w:rPr>
          <w:rFonts w:ascii="Garamond" w:hAnsi="Garamond"/>
          <w:sz w:val="22"/>
          <w:szCs w:val="22"/>
        </w:rPr>
      </w:pPr>
    </w:p>
    <w:p w:rsidR="002A265C" w:rsidRPr="002A265C" w:rsidRDefault="002A265C" w:rsidP="002A265C">
      <w:pPr>
        <w:rPr>
          <w:rFonts w:ascii="Garamond" w:hAnsi="Garamond"/>
          <w:caps/>
          <w:sz w:val="22"/>
          <w:szCs w:val="22"/>
        </w:rPr>
      </w:pPr>
      <w:r w:rsidRPr="002A265C">
        <w:rPr>
          <w:rFonts w:ascii="Garamond" w:hAnsi="Garamond"/>
          <w:caps/>
          <w:sz w:val="22"/>
          <w:szCs w:val="22"/>
        </w:rPr>
        <w:t>Amends Constitution to dedicate all State moneys received from settlements and awards in cases of environmental contamination for certain environmental purposes</w:t>
      </w:r>
    </w:p>
    <w:p w:rsidR="002A265C" w:rsidRPr="002A265C" w:rsidRDefault="002A265C" w:rsidP="002A265C">
      <w:pPr>
        <w:rPr>
          <w:rFonts w:ascii="Garamond" w:hAnsi="Garamond"/>
          <w:sz w:val="22"/>
          <w:szCs w:val="22"/>
        </w:rPr>
      </w:pPr>
    </w:p>
    <w:p w:rsidR="002A265C" w:rsidRPr="002A265C" w:rsidRDefault="002A265C" w:rsidP="002A265C">
      <w:pPr>
        <w:rPr>
          <w:rFonts w:ascii="Garamond" w:hAnsi="Garamond"/>
          <w:b/>
          <w:caps/>
          <w:sz w:val="22"/>
          <w:szCs w:val="22"/>
          <w:u w:val="single"/>
        </w:rPr>
      </w:pPr>
      <w:r w:rsidRPr="002A265C">
        <w:rPr>
          <w:rFonts w:ascii="Garamond" w:hAnsi="Garamond"/>
          <w:b/>
          <w:sz w:val="22"/>
          <w:szCs w:val="22"/>
        </w:rPr>
        <w:t xml:space="preserve">OFFICERS’ RECOMMENDATION:   </w:t>
      </w:r>
      <w:r w:rsidRPr="002A265C">
        <w:rPr>
          <w:rFonts w:ascii="Garamond" w:hAnsi="Garamond"/>
          <w:b/>
          <w:caps/>
          <w:sz w:val="22"/>
          <w:szCs w:val="22"/>
        </w:rPr>
        <w:t xml:space="preserve">NO POSITION </w:t>
      </w:r>
    </w:p>
    <w:p w:rsidR="002A265C" w:rsidRPr="002A265C" w:rsidRDefault="002A265C" w:rsidP="002A265C">
      <w:pPr>
        <w:rPr>
          <w:rFonts w:ascii="Garamond" w:hAnsi="Garamond"/>
          <w:sz w:val="22"/>
          <w:szCs w:val="22"/>
        </w:rPr>
      </w:pPr>
    </w:p>
    <w:p w:rsidR="002A265C" w:rsidRPr="002A265C" w:rsidRDefault="002A265C" w:rsidP="002A265C">
      <w:pPr>
        <w:rPr>
          <w:rFonts w:ascii="Garamond" w:hAnsi="Garamond"/>
          <w:b/>
          <w:sz w:val="22"/>
          <w:szCs w:val="22"/>
        </w:rPr>
      </w:pPr>
      <w:r w:rsidRPr="002A265C">
        <w:rPr>
          <w:rFonts w:ascii="Garamond" w:hAnsi="Garamond"/>
          <w:b/>
          <w:sz w:val="22"/>
          <w:szCs w:val="22"/>
        </w:rPr>
        <w:t>RATIONALE:</w:t>
      </w:r>
    </w:p>
    <w:p w:rsidR="002A265C" w:rsidRPr="002A265C" w:rsidRDefault="002A265C" w:rsidP="002A265C">
      <w:pPr>
        <w:rPr>
          <w:rFonts w:ascii="Garamond" w:hAnsi="Garamond"/>
          <w:sz w:val="22"/>
          <w:szCs w:val="22"/>
        </w:rPr>
      </w:pPr>
    </w:p>
    <w:p w:rsidR="002A265C" w:rsidRPr="002A265C" w:rsidRDefault="002A265C" w:rsidP="002A265C">
      <w:pPr>
        <w:rPr>
          <w:rFonts w:ascii="Garamond" w:hAnsi="Garamond"/>
          <w:sz w:val="22"/>
          <w:szCs w:val="22"/>
        </w:rPr>
      </w:pPr>
      <w:r w:rsidRPr="002A265C">
        <w:rPr>
          <w:rFonts w:ascii="Garamond" w:hAnsi="Garamond"/>
          <w:sz w:val="22"/>
          <w:szCs w:val="22"/>
        </w:rPr>
        <w:t>This amendment would constitutionally dedicate all moneys from settlements and awards collected by the State in connection with legal claims based on environmental contamination to natural resource damages.  The dedicated amounts may be used to repair, restore, or replace damaged or lost natural resources of the State, or permanently protect the natural resources of the State, or pay the legal or other costs incurred by the State to pursue the awards relating to natural resource damages.  NJEA took no position on the bill in the Legislature.</w:t>
      </w:r>
    </w:p>
    <w:p w:rsidR="002A265C" w:rsidRPr="002A265C" w:rsidRDefault="002A265C" w:rsidP="002A265C">
      <w:pPr>
        <w:rPr>
          <w:rFonts w:ascii="Garamond" w:hAnsi="Garamond"/>
          <w:sz w:val="22"/>
          <w:szCs w:val="22"/>
        </w:rPr>
      </w:pPr>
    </w:p>
    <w:p w:rsidR="002A265C" w:rsidRPr="002A265C" w:rsidRDefault="002A265C" w:rsidP="002A265C">
      <w:pPr>
        <w:rPr>
          <w:rFonts w:ascii="Garamond" w:hAnsi="Garamond"/>
          <w:sz w:val="22"/>
          <w:szCs w:val="22"/>
        </w:rPr>
      </w:pPr>
      <w:r w:rsidRPr="002A265C">
        <w:rPr>
          <w:rFonts w:ascii="Garamond" w:hAnsi="Garamond"/>
          <w:sz w:val="22"/>
          <w:szCs w:val="22"/>
        </w:rPr>
        <w:t>Due to the fluctuating nature of such awards, the Office of Legislative Services (OLS) was unable to estimate the amount of such revenue.  However, OLS noted that budgetary appropriation language in recent years has dedicated the first $50 million of such awards to these cleanup projects—with any excess deposited into the general fund.</w:t>
      </w:r>
    </w:p>
    <w:p w:rsidR="002A265C" w:rsidRPr="002A265C" w:rsidRDefault="002A265C" w:rsidP="002A265C">
      <w:pPr>
        <w:rPr>
          <w:rFonts w:ascii="Garamond" w:hAnsi="Garamond"/>
          <w:sz w:val="22"/>
          <w:szCs w:val="22"/>
        </w:rPr>
      </w:pPr>
    </w:p>
    <w:p w:rsidR="002A265C" w:rsidRPr="002A265C" w:rsidRDefault="002A265C" w:rsidP="002A265C">
      <w:pPr>
        <w:rPr>
          <w:rFonts w:ascii="Garamond" w:hAnsi="Garamond"/>
          <w:sz w:val="22"/>
          <w:szCs w:val="22"/>
        </w:rPr>
      </w:pPr>
      <w:r w:rsidRPr="002A265C">
        <w:rPr>
          <w:rFonts w:ascii="Garamond" w:hAnsi="Garamond"/>
          <w:sz w:val="22"/>
          <w:szCs w:val="22"/>
        </w:rPr>
        <w:t>The amendment hamstrings the state from using any windfalls from litigation or settlement for other obligations, such as pension funding.  As an example, the Department of Environmental Protection represented that may receive $226 million to $236 million in damage awards in Fiscal Year 2017—a significant amount.  Under the amendment, this would only go to redress environmental damage and costs.</w:t>
      </w:r>
    </w:p>
    <w:p w:rsidR="002A265C" w:rsidRPr="002A265C" w:rsidRDefault="002A265C" w:rsidP="002A265C">
      <w:pPr>
        <w:rPr>
          <w:rFonts w:ascii="Garamond" w:hAnsi="Garamond"/>
          <w:sz w:val="22"/>
          <w:szCs w:val="22"/>
        </w:rPr>
      </w:pPr>
    </w:p>
    <w:p w:rsidR="002A265C" w:rsidRPr="002A265C" w:rsidRDefault="002A265C" w:rsidP="002A265C">
      <w:pPr>
        <w:rPr>
          <w:rFonts w:ascii="Garamond" w:hAnsi="Garamond"/>
          <w:sz w:val="22"/>
          <w:szCs w:val="22"/>
        </w:rPr>
      </w:pPr>
      <w:r w:rsidRPr="002A265C">
        <w:rPr>
          <w:rFonts w:ascii="Garamond" w:hAnsi="Garamond"/>
          <w:sz w:val="22"/>
          <w:szCs w:val="22"/>
        </w:rPr>
        <w:t>The amendment would, in theory, free up nominal budgetary resources for other purposes.  The amendment allows up to 10 percent of such awards to go to state agencies tasked with enforcing these rules.  This would offset some state funding typically allocated for this purpose and could free up resources for pensions and school funding.</w:t>
      </w:r>
    </w:p>
    <w:p w:rsidR="002A265C" w:rsidRPr="002A265C" w:rsidRDefault="002A265C" w:rsidP="002A265C">
      <w:pPr>
        <w:rPr>
          <w:rFonts w:ascii="Garamond" w:hAnsi="Garamond"/>
          <w:sz w:val="22"/>
          <w:szCs w:val="22"/>
        </w:rPr>
      </w:pPr>
    </w:p>
    <w:p w:rsidR="002A265C" w:rsidRPr="002A265C" w:rsidRDefault="002A265C" w:rsidP="002A265C">
      <w:pPr>
        <w:rPr>
          <w:rFonts w:ascii="Garamond" w:hAnsi="Garamond"/>
          <w:sz w:val="22"/>
          <w:szCs w:val="22"/>
        </w:rPr>
      </w:pPr>
      <w:r w:rsidRPr="002A265C">
        <w:rPr>
          <w:rFonts w:ascii="Garamond" w:hAnsi="Garamond"/>
          <w:sz w:val="22"/>
          <w:szCs w:val="22"/>
        </w:rPr>
        <w:t>In a time of pressing state obligations on pensions and school funding, NJEA cannot endorse restricted flexibility on all state resources for long-neglected financial commitments.  Nevertheless, NJEA members value the vital role of our natural resources with educating, informing, and inspiring our students.  Polluters should be answerable for their environmental damage and should correct their harm.  It would therefore be inappropriate to oppose the dedication of these rightful awards for these purposes and NJEA will take no position on the amendment.</w:t>
      </w:r>
    </w:p>
    <w:p w:rsidR="002A265C" w:rsidRDefault="002A265C" w:rsidP="002A265C">
      <w:pPr>
        <w:rPr>
          <w:rFonts w:ascii="Garamond" w:hAnsi="Garamond"/>
          <w:sz w:val="22"/>
          <w:szCs w:val="22"/>
        </w:rPr>
      </w:pPr>
    </w:p>
    <w:p w:rsidR="00217B32" w:rsidRDefault="00217B32" w:rsidP="002A265C">
      <w:pPr>
        <w:rPr>
          <w:rFonts w:ascii="Garamond" w:hAnsi="Garamond"/>
          <w:sz w:val="22"/>
          <w:szCs w:val="22"/>
        </w:rPr>
      </w:pPr>
    </w:p>
    <w:p w:rsidR="00217B32" w:rsidRDefault="00217B32" w:rsidP="002A265C">
      <w:pPr>
        <w:rPr>
          <w:rFonts w:ascii="Garamond" w:hAnsi="Garamond"/>
          <w:sz w:val="22"/>
          <w:szCs w:val="22"/>
        </w:rPr>
      </w:pPr>
    </w:p>
    <w:p w:rsidR="00217B32" w:rsidRPr="00217B32" w:rsidRDefault="00217B32" w:rsidP="00217B32">
      <w:pPr>
        <w:jc w:val="right"/>
        <w:rPr>
          <w:rFonts w:ascii="Garamond" w:hAnsi="Garamond"/>
          <w:b/>
          <w:i/>
          <w:sz w:val="16"/>
          <w:szCs w:val="16"/>
        </w:rPr>
      </w:pPr>
      <w:r w:rsidRPr="00217B32">
        <w:rPr>
          <w:rFonts w:ascii="Garamond" w:hAnsi="Garamond"/>
          <w:b/>
          <w:i/>
          <w:sz w:val="16"/>
          <w:szCs w:val="16"/>
        </w:rPr>
        <w:t>…over, please</w:t>
      </w:r>
    </w:p>
    <w:p w:rsidR="00217B32" w:rsidRDefault="00217B32" w:rsidP="002A265C">
      <w:pPr>
        <w:rPr>
          <w:rFonts w:ascii="Garamond" w:hAnsi="Garamond"/>
          <w:sz w:val="22"/>
          <w:szCs w:val="22"/>
        </w:rPr>
      </w:pPr>
    </w:p>
    <w:p w:rsidR="00217B32" w:rsidRDefault="00217B32" w:rsidP="002A265C">
      <w:pPr>
        <w:rPr>
          <w:rFonts w:ascii="Garamond" w:hAnsi="Garamond"/>
          <w:sz w:val="22"/>
          <w:szCs w:val="22"/>
        </w:rPr>
      </w:pPr>
    </w:p>
    <w:p w:rsidR="00217B32" w:rsidRDefault="00217B32" w:rsidP="002A265C">
      <w:pPr>
        <w:rPr>
          <w:rFonts w:ascii="Garamond" w:hAnsi="Garamond"/>
          <w:sz w:val="22"/>
          <w:szCs w:val="22"/>
        </w:rPr>
      </w:pPr>
    </w:p>
    <w:p w:rsidR="00217B32" w:rsidRDefault="00217B32" w:rsidP="002A265C">
      <w:pPr>
        <w:rPr>
          <w:rFonts w:ascii="Garamond" w:hAnsi="Garamond"/>
          <w:sz w:val="22"/>
          <w:szCs w:val="22"/>
        </w:rPr>
      </w:pPr>
    </w:p>
    <w:p w:rsidR="00217B32" w:rsidRDefault="00217B32" w:rsidP="002A265C">
      <w:pPr>
        <w:rPr>
          <w:rFonts w:ascii="Garamond" w:hAnsi="Garamond"/>
          <w:sz w:val="22"/>
          <w:szCs w:val="22"/>
        </w:rPr>
      </w:pPr>
    </w:p>
    <w:p w:rsidR="00217B32" w:rsidRDefault="00217B32" w:rsidP="002A265C">
      <w:pPr>
        <w:rPr>
          <w:rFonts w:ascii="Garamond" w:hAnsi="Garamond"/>
          <w:sz w:val="22"/>
          <w:szCs w:val="22"/>
        </w:rPr>
      </w:pPr>
    </w:p>
    <w:p w:rsidR="00217B32" w:rsidRPr="002A265C" w:rsidRDefault="00217B32" w:rsidP="002A265C">
      <w:pPr>
        <w:rPr>
          <w:rFonts w:ascii="Garamond" w:hAnsi="Garamond"/>
          <w:sz w:val="22"/>
          <w:szCs w:val="22"/>
        </w:rPr>
      </w:pPr>
    </w:p>
    <w:tbl>
      <w:tblPr>
        <w:tblW w:w="9835" w:type="dxa"/>
        <w:shd w:val="clear" w:color="auto" w:fill="FFF5EE"/>
        <w:tblCellMar>
          <w:left w:w="0" w:type="dxa"/>
          <w:right w:w="0" w:type="dxa"/>
        </w:tblCellMar>
        <w:tblLook w:val="04A0" w:firstRow="1" w:lastRow="0" w:firstColumn="1" w:lastColumn="0" w:noHBand="0" w:noVBand="1"/>
      </w:tblPr>
      <w:tblGrid>
        <w:gridCol w:w="648"/>
        <w:gridCol w:w="1080"/>
        <w:gridCol w:w="8107"/>
      </w:tblGrid>
      <w:tr w:rsidR="002A265C" w:rsidRPr="002A265C" w:rsidTr="00217B32">
        <w:trPr>
          <w:trHeight w:val="762"/>
        </w:trPr>
        <w:tc>
          <w:tcPr>
            <w:tcW w:w="648" w:type="dxa"/>
            <w:tcBorders>
              <w:top w:val="single" w:sz="8" w:space="0" w:color="auto"/>
              <w:left w:val="single" w:sz="8" w:space="0" w:color="auto"/>
              <w:bottom w:val="nil"/>
              <w:right w:val="single" w:sz="8" w:space="0" w:color="auto"/>
            </w:tcBorders>
            <w:shd w:val="clear" w:color="auto" w:fill="FFF5EE"/>
            <w:tcMar>
              <w:top w:w="0" w:type="dxa"/>
              <w:left w:w="115" w:type="dxa"/>
              <w:bottom w:w="0" w:type="dxa"/>
              <w:right w:w="115" w:type="dxa"/>
            </w:tcMar>
            <w:hideMark/>
          </w:tcPr>
          <w:p w:rsidR="002A265C" w:rsidRPr="002A265C" w:rsidRDefault="002A265C" w:rsidP="002A265C">
            <w:pPr>
              <w:jc w:val="both"/>
              <w:rPr>
                <w:rFonts w:ascii="Garamond" w:hAnsi="Garamond"/>
                <w:spacing w:val="4"/>
                <w:sz w:val="22"/>
                <w:szCs w:val="22"/>
              </w:rPr>
            </w:pPr>
            <w:r w:rsidRPr="002A265C">
              <w:rPr>
                <w:rFonts w:ascii="Garamond" w:hAnsi="Garamond"/>
                <w:sz w:val="22"/>
                <w:szCs w:val="22"/>
              </w:rPr>
              <w:t> </w:t>
            </w:r>
          </w:p>
        </w:tc>
        <w:tc>
          <w:tcPr>
            <w:tcW w:w="1080" w:type="dxa"/>
            <w:tcBorders>
              <w:top w:val="single" w:sz="8" w:space="0" w:color="auto"/>
              <w:left w:val="nil"/>
              <w:bottom w:val="nil"/>
              <w:right w:val="single" w:sz="8" w:space="0" w:color="auto"/>
            </w:tcBorders>
            <w:shd w:val="clear" w:color="auto" w:fill="FFF5EE"/>
            <w:tcMar>
              <w:top w:w="0" w:type="dxa"/>
              <w:left w:w="115" w:type="dxa"/>
              <w:bottom w:w="0" w:type="dxa"/>
              <w:right w:w="115" w:type="dxa"/>
            </w:tcMar>
            <w:hideMark/>
          </w:tcPr>
          <w:p w:rsidR="002A265C" w:rsidRPr="002A265C" w:rsidRDefault="002A265C" w:rsidP="002A265C">
            <w:pPr>
              <w:jc w:val="both"/>
              <w:rPr>
                <w:rFonts w:ascii="Garamond" w:hAnsi="Garamond"/>
                <w:spacing w:val="4"/>
                <w:sz w:val="22"/>
                <w:szCs w:val="22"/>
              </w:rPr>
            </w:pPr>
            <w:r w:rsidRPr="002A265C">
              <w:rPr>
                <w:rFonts w:ascii="Garamond" w:hAnsi="Garamond"/>
                <w:sz w:val="22"/>
                <w:szCs w:val="22"/>
              </w:rPr>
              <w:t> </w:t>
            </w:r>
          </w:p>
        </w:tc>
        <w:tc>
          <w:tcPr>
            <w:tcW w:w="8107" w:type="dxa"/>
            <w:tcBorders>
              <w:top w:val="single" w:sz="8" w:space="0" w:color="auto"/>
              <w:left w:val="nil"/>
              <w:bottom w:val="nil"/>
              <w:right w:val="single" w:sz="8" w:space="0" w:color="auto"/>
            </w:tcBorders>
            <w:shd w:val="clear" w:color="auto" w:fill="FFF5EE"/>
            <w:tcMar>
              <w:top w:w="58" w:type="dxa"/>
              <w:left w:w="115" w:type="dxa"/>
              <w:bottom w:w="0" w:type="dxa"/>
              <w:right w:w="115" w:type="dxa"/>
            </w:tcMar>
            <w:hideMark/>
          </w:tcPr>
          <w:p w:rsidR="00217B32" w:rsidRDefault="00217B32" w:rsidP="00217B32">
            <w:pPr>
              <w:jc w:val="center"/>
              <w:rPr>
                <w:rFonts w:ascii="Garamond" w:hAnsi="Garamond"/>
                <w:sz w:val="22"/>
                <w:szCs w:val="22"/>
              </w:rPr>
            </w:pPr>
          </w:p>
          <w:p w:rsidR="00217B32" w:rsidRDefault="002A265C" w:rsidP="00217B32">
            <w:pPr>
              <w:jc w:val="center"/>
              <w:rPr>
                <w:rFonts w:ascii="Garamond" w:hAnsi="Garamond"/>
                <w:spacing w:val="4"/>
                <w:sz w:val="22"/>
                <w:szCs w:val="22"/>
              </w:rPr>
            </w:pPr>
            <w:r w:rsidRPr="002A265C">
              <w:rPr>
                <w:rFonts w:ascii="Garamond" w:hAnsi="Garamond"/>
                <w:sz w:val="22"/>
                <w:szCs w:val="22"/>
              </w:rPr>
              <w:t>CONSTITUTIONAL AMENDMENT DEDICATING MONEYS FROM STATE ENVIRONMENTAL CONTAMINATION CASES</w:t>
            </w:r>
          </w:p>
          <w:p w:rsidR="00217B32" w:rsidRDefault="00217B32" w:rsidP="00217B32">
            <w:pPr>
              <w:rPr>
                <w:rFonts w:ascii="Garamond" w:hAnsi="Garamond"/>
                <w:sz w:val="22"/>
                <w:szCs w:val="22"/>
              </w:rPr>
            </w:pPr>
          </w:p>
          <w:p w:rsidR="002A265C" w:rsidRPr="00217B32" w:rsidRDefault="002A265C" w:rsidP="00217B32">
            <w:pPr>
              <w:rPr>
                <w:rFonts w:ascii="Garamond" w:hAnsi="Garamond"/>
                <w:sz w:val="22"/>
                <w:szCs w:val="22"/>
              </w:rPr>
            </w:pPr>
          </w:p>
        </w:tc>
      </w:tr>
      <w:tr w:rsidR="002A265C" w:rsidRPr="002A265C" w:rsidTr="00217B32">
        <w:trPr>
          <w:trHeight w:val="407"/>
        </w:trPr>
        <w:tc>
          <w:tcPr>
            <w:tcW w:w="648" w:type="dxa"/>
            <w:tcBorders>
              <w:top w:val="nil"/>
              <w:left w:val="single" w:sz="8" w:space="0" w:color="auto"/>
              <w:bottom w:val="single" w:sz="8" w:space="0" w:color="auto"/>
              <w:right w:val="single" w:sz="8" w:space="0" w:color="auto"/>
            </w:tcBorders>
            <w:shd w:val="clear" w:color="auto" w:fill="FFF5EE"/>
            <w:tcMar>
              <w:top w:w="0" w:type="dxa"/>
              <w:left w:w="115" w:type="dxa"/>
              <w:bottom w:w="0" w:type="dxa"/>
              <w:right w:w="115" w:type="dxa"/>
            </w:tcMar>
            <w:hideMark/>
          </w:tcPr>
          <w:p w:rsidR="002A265C" w:rsidRPr="002A265C" w:rsidRDefault="002A265C" w:rsidP="002A265C">
            <w:pPr>
              <w:jc w:val="both"/>
              <w:rPr>
                <w:rFonts w:ascii="Garamond" w:hAnsi="Garamond"/>
                <w:spacing w:val="4"/>
                <w:sz w:val="22"/>
                <w:szCs w:val="22"/>
              </w:rPr>
            </w:pPr>
            <w:r w:rsidRPr="002A265C">
              <w:rPr>
                <w:rFonts w:ascii="Garamond" w:hAnsi="Garamond"/>
                <w:sz w:val="22"/>
                <w:szCs w:val="22"/>
              </w:rPr>
              <w:t> </w:t>
            </w:r>
          </w:p>
        </w:tc>
        <w:tc>
          <w:tcPr>
            <w:tcW w:w="1080" w:type="dxa"/>
            <w:tcBorders>
              <w:top w:val="nil"/>
              <w:left w:val="nil"/>
              <w:bottom w:val="single" w:sz="8" w:space="0" w:color="auto"/>
              <w:right w:val="single" w:sz="8" w:space="0" w:color="auto"/>
            </w:tcBorders>
            <w:shd w:val="clear" w:color="auto" w:fill="FFF5EE"/>
            <w:tcMar>
              <w:top w:w="0" w:type="dxa"/>
              <w:left w:w="115" w:type="dxa"/>
              <w:bottom w:w="0" w:type="dxa"/>
              <w:right w:w="115" w:type="dxa"/>
            </w:tcMar>
            <w:vAlign w:val="center"/>
            <w:hideMark/>
          </w:tcPr>
          <w:p w:rsidR="002A265C" w:rsidRPr="002A265C" w:rsidRDefault="002A265C" w:rsidP="002A265C">
            <w:pPr>
              <w:jc w:val="center"/>
              <w:rPr>
                <w:rFonts w:ascii="Garamond" w:hAnsi="Garamond"/>
                <w:spacing w:val="4"/>
                <w:sz w:val="22"/>
                <w:szCs w:val="22"/>
              </w:rPr>
            </w:pPr>
            <w:r w:rsidRPr="002A265C">
              <w:rPr>
                <w:rFonts w:ascii="Garamond" w:hAnsi="Garamond"/>
                <w:sz w:val="22"/>
                <w:szCs w:val="22"/>
              </w:rPr>
              <w:t>YES</w:t>
            </w:r>
          </w:p>
          <w:p w:rsidR="002A265C" w:rsidRPr="002A265C" w:rsidRDefault="002A265C" w:rsidP="002A265C">
            <w:pPr>
              <w:jc w:val="center"/>
              <w:rPr>
                <w:rFonts w:ascii="Garamond" w:hAnsi="Garamond"/>
                <w:spacing w:val="4"/>
                <w:sz w:val="22"/>
                <w:szCs w:val="22"/>
              </w:rPr>
            </w:pPr>
            <w:r w:rsidRPr="002A265C">
              <w:rPr>
                <w:rFonts w:ascii="Garamond" w:hAnsi="Garamond"/>
                <w:sz w:val="22"/>
                <w:szCs w:val="22"/>
              </w:rPr>
              <w:t> </w:t>
            </w:r>
          </w:p>
        </w:tc>
        <w:tc>
          <w:tcPr>
            <w:tcW w:w="8107" w:type="dxa"/>
            <w:tcBorders>
              <w:top w:val="nil"/>
              <w:left w:val="nil"/>
              <w:bottom w:val="single" w:sz="8" w:space="0" w:color="auto"/>
              <w:right w:val="single" w:sz="8" w:space="0" w:color="auto"/>
            </w:tcBorders>
            <w:shd w:val="clear" w:color="auto" w:fill="FFF5EE"/>
            <w:tcMar>
              <w:top w:w="0" w:type="dxa"/>
              <w:left w:w="115" w:type="dxa"/>
              <w:bottom w:w="0" w:type="dxa"/>
              <w:right w:w="115" w:type="dxa"/>
            </w:tcMar>
            <w:hideMark/>
          </w:tcPr>
          <w:p w:rsidR="00217B32" w:rsidRDefault="00217B32" w:rsidP="00217B32">
            <w:pPr>
              <w:rPr>
                <w:rFonts w:ascii="Garamond" w:hAnsi="Garamond"/>
                <w:sz w:val="22"/>
                <w:szCs w:val="22"/>
              </w:rPr>
            </w:pPr>
          </w:p>
          <w:p w:rsidR="002A265C" w:rsidRDefault="002A265C" w:rsidP="00217B32">
            <w:pPr>
              <w:rPr>
                <w:rFonts w:ascii="Garamond" w:hAnsi="Garamond"/>
                <w:sz w:val="22"/>
                <w:szCs w:val="22"/>
              </w:rPr>
            </w:pPr>
            <w:r w:rsidRPr="002A265C">
              <w:rPr>
                <w:rFonts w:ascii="Garamond" w:hAnsi="Garamond"/>
                <w:sz w:val="22"/>
                <w:szCs w:val="22"/>
              </w:rPr>
              <w:t>Do you approve amending the Constitution to dedicate all moneys collected by the State relating to natural resource damages in cases of contamination of the environment?  The moneys would have to be used to repair, restore, replace, or preserve the State’s natural resources.  The moneys may also be used to pay legal or other costs incurred by the State in pursuing its claims.     </w:t>
            </w:r>
          </w:p>
          <w:p w:rsidR="00217B32" w:rsidRPr="002A265C" w:rsidRDefault="00217B32" w:rsidP="00217B32">
            <w:pPr>
              <w:rPr>
                <w:rFonts w:ascii="Garamond" w:hAnsi="Garamond"/>
                <w:spacing w:val="4"/>
                <w:sz w:val="22"/>
                <w:szCs w:val="22"/>
              </w:rPr>
            </w:pPr>
          </w:p>
        </w:tc>
      </w:tr>
      <w:tr w:rsidR="002A265C" w:rsidRPr="002A265C" w:rsidTr="00217B32">
        <w:trPr>
          <w:trHeight w:val="407"/>
        </w:trPr>
        <w:tc>
          <w:tcPr>
            <w:tcW w:w="648" w:type="dxa"/>
            <w:tcBorders>
              <w:top w:val="single" w:sz="8" w:space="0" w:color="auto"/>
              <w:left w:val="single" w:sz="8" w:space="0" w:color="auto"/>
              <w:bottom w:val="nil"/>
              <w:right w:val="single" w:sz="8" w:space="0" w:color="auto"/>
            </w:tcBorders>
            <w:shd w:val="clear" w:color="auto" w:fill="FFF5EE"/>
            <w:tcMar>
              <w:top w:w="0" w:type="dxa"/>
              <w:left w:w="115" w:type="dxa"/>
              <w:bottom w:w="0" w:type="dxa"/>
              <w:right w:w="115" w:type="dxa"/>
            </w:tcMar>
            <w:hideMark/>
          </w:tcPr>
          <w:p w:rsidR="002A265C" w:rsidRPr="002A265C" w:rsidRDefault="002A265C" w:rsidP="002A265C">
            <w:pPr>
              <w:jc w:val="both"/>
              <w:rPr>
                <w:rFonts w:ascii="Garamond" w:hAnsi="Garamond"/>
                <w:spacing w:val="4"/>
                <w:sz w:val="22"/>
                <w:szCs w:val="22"/>
              </w:rPr>
            </w:pPr>
            <w:r w:rsidRPr="002A265C">
              <w:rPr>
                <w:rFonts w:ascii="Garamond" w:hAnsi="Garamond"/>
                <w:sz w:val="22"/>
                <w:szCs w:val="22"/>
              </w:rPr>
              <w:t> </w:t>
            </w:r>
          </w:p>
        </w:tc>
        <w:tc>
          <w:tcPr>
            <w:tcW w:w="1080" w:type="dxa"/>
            <w:tcBorders>
              <w:top w:val="single" w:sz="8" w:space="0" w:color="auto"/>
              <w:left w:val="nil"/>
              <w:bottom w:val="nil"/>
              <w:right w:val="single" w:sz="8" w:space="0" w:color="auto"/>
            </w:tcBorders>
            <w:shd w:val="clear" w:color="auto" w:fill="FFF5EE"/>
            <w:tcMar>
              <w:top w:w="0" w:type="dxa"/>
              <w:left w:w="115" w:type="dxa"/>
              <w:bottom w:w="0" w:type="dxa"/>
              <w:right w:w="115" w:type="dxa"/>
            </w:tcMar>
            <w:hideMark/>
          </w:tcPr>
          <w:p w:rsidR="002A265C" w:rsidRPr="002A265C" w:rsidRDefault="002A265C" w:rsidP="002A265C">
            <w:pPr>
              <w:jc w:val="both"/>
              <w:rPr>
                <w:rFonts w:ascii="Garamond" w:hAnsi="Garamond"/>
                <w:spacing w:val="4"/>
                <w:sz w:val="22"/>
                <w:szCs w:val="22"/>
              </w:rPr>
            </w:pPr>
            <w:r w:rsidRPr="002A265C">
              <w:rPr>
                <w:rFonts w:ascii="Garamond" w:hAnsi="Garamond"/>
                <w:sz w:val="22"/>
                <w:szCs w:val="22"/>
              </w:rPr>
              <w:t> </w:t>
            </w:r>
          </w:p>
        </w:tc>
        <w:tc>
          <w:tcPr>
            <w:tcW w:w="8107" w:type="dxa"/>
            <w:tcBorders>
              <w:top w:val="single" w:sz="8" w:space="0" w:color="auto"/>
              <w:left w:val="nil"/>
              <w:bottom w:val="nil"/>
              <w:right w:val="single" w:sz="8" w:space="0" w:color="auto"/>
            </w:tcBorders>
            <w:shd w:val="clear" w:color="auto" w:fill="FFF5EE"/>
            <w:tcMar>
              <w:top w:w="0" w:type="dxa"/>
              <w:left w:w="115" w:type="dxa"/>
              <w:bottom w:w="0" w:type="dxa"/>
              <w:right w:w="115" w:type="dxa"/>
            </w:tcMar>
            <w:vAlign w:val="center"/>
            <w:hideMark/>
          </w:tcPr>
          <w:p w:rsidR="00217B32" w:rsidRDefault="00217B32" w:rsidP="002A265C">
            <w:pPr>
              <w:jc w:val="center"/>
              <w:rPr>
                <w:rFonts w:ascii="Garamond" w:hAnsi="Garamond"/>
                <w:sz w:val="22"/>
                <w:szCs w:val="22"/>
              </w:rPr>
            </w:pPr>
          </w:p>
          <w:p w:rsidR="002A265C" w:rsidRDefault="002A265C" w:rsidP="002A265C">
            <w:pPr>
              <w:jc w:val="center"/>
              <w:rPr>
                <w:rFonts w:ascii="Garamond" w:hAnsi="Garamond"/>
                <w:sz w:val="22"/>
                <w:szCs w:val="22"/>
              </w:rPr>
            </w:pPr>
            <w:r w:rsidRPr="002A265C">
              <w:rPr>
                <w:rFonts w:ascii="Garamond" w:hAnsi="Garamond"/>
                <w:sz w:val="22"/>
                <w:szCs w:val="22"/>
              </w:rPr>
              <w:t>INTERPRETIVE STATEMENT</w:t>
            </w:r>
          </w:p>
          <w:p w:rsidR="00217B32" w:rsidRPr="002A265C" w:rsidRDefault="00217B32" w:rsidP="002A265C">
            <w:pPr>
              <w:jc w:val="center"/>
              <w:rPr>
                <w:rFonts w:ascii="Garamond" w:hAnsi="Garamond"/>
                <w:spacing w:val="4"/>
                <w:sz w:val="22"/>
                <w:szCs w:val="22"/>
              </w:rPr>
            </w:pPr>
          </w:p>
        </w:tc>
      </w:tr>
      <w:tr w:rsidR="002A265C" w:rsidRPr="002A265C" w:rsidTr="00217B32">
        <w:trPr>
          <w:trHeight w:val="2853"/>
        </w:trPr>
        <w:tc>
          <w:tcPr>
            <w:tcW w:w="648" w:type="dxa"/>
            <w:tcBorders>
              <w:top w:val="nil"/>
              <w:left w:val="single" w:sz="8" w:space="0" w:color="auto"/>
              <w:bottom w:val="single" w:sz="8" w:space="0" w:color="auto"/>
              <w:right w:val="single" w:sz="8" w:space="0" w:color="auto"/>
            </w:tcBorders>
            <w:shd w:val="clear" w:color="auto" w:fill="FFF5EE"/>
            <w:tcMar>
              <w:top w:w="0" w:type="dxa"/>
              <w:left w:w="115" w:type="dxa"/>
              <w:bottom w:w="0" w:type="dxa"/>
              <w:right w:w="115" w:type="dxa"/>
            </w:tcMar>
            <w:hideMark/>
          </w:tcPr>
          <w:p w:rsidR="002A265C" w:rsidRPr="002A265C" w:rsidRDefault="002A265C" w:rsidP="002A265C">
            <w:pPr>
              <w:jc w:val="both"/>
              <w:rPr>
                <w:rFonts w:ascii="Garamond" w:hAnsi="Garamond"/>
                <w:spacing w:val="4"/>
                <w:sz w:val="22"/>
                <w:szCs w:val="22"/>
              </w:rPr>
            </w:pPr>
            <w:r w:rsidRPr="002A265C">
              <w:rPr>
                <w:rFonts w:ascii="Garamond" w:hAnsi="Garamond"/>
                <w:sz w:val="22"/>
                <w:szCs w:val="22"/>
              </w:rPr>
              <w:t> </w:t>
            </w:r>
          </w:p>
        </w:tc>
        <w:tc>
          <w:tcPr>
            <w:tcW w:w="1080" w:type="dxa"/>
            <w:tcBorders>
              <w:top w:val="nil"/>
              <w:left w:val="nil"/>
              <w:bottom w:val="single" w:sz="8" w:space="0" w:color="auto"/>
              <w:right w:val="single" w:sz="8" w:space="0" w:color="auto"/>
            </w:tcBorders>
            <w:shd w:val="clear" w:color="auto" w:fill="FFF5EE"/>
            <w:tcMar>
              <w:top w:w="0" w:type="dxa"/>
              <w:left w:w="115" w:type="dxa"/>
              <w:bottom w:w="0" w:type="dxa"/>
              <w:right w:w="115" w:type="dxa"/>
            </w:tcMar>
            <w:vAlign w:val="bottom"/>
            <w:hideMark/>
          </w:tcPr>
          <w:p w:rsidR="00217B32" w:rsidRDefault="00217B32" w:rsidP="002A265C">
            <w:pPr>
              <w:jc w:val="center"/>
              <w:rPr>
                <w:rFonts w:ascii="Garamond" w:hAnsi="Garamond"/>
                <w:sz w:val="22"/>
                <w:szCs w:val="22"/>
              </w:rPr>
            </w:pPr>
          </w:p>
          <w:p w:rsidR="00217B32" w:rsidRDefault="00217B32" w:rsidP="002A265C">
            <w:pPr>
              <w:jc w:val="center"/>
              <w:rPr>
                <w:rFonts w:ascii="Garamond" w:hAnsi="Garamond"/>
                <w:sz w:val="22"/>
                <w:szCs w:val="22"/>
              </w:rPr>
            </w:pPr>
          </w:p>
          <w:p w:rsidR="00217B32" w:rsidRDefault="00217B32" w:rsidP="002A265C">
            <w:pPr>
              <w:jc w:val="center"/>
              <w:rPr>
                <w:rFonts w:ascii="Garamond" w:hAnsi="Garamond"/>
                <w:sz w:val="22"/>
                <w:szCs w:val="22"/>
              </w:rPr>
            </w:pPr>
          </w:p>
          <w:p w:rsidR="00217B32" w:rsidRDefault="00217B32" w:rsidP="002A265C">
            <w:pPr>
              <w:jc w:val="center"/>
              <w:rPr>
                <w:rFonts w:ascii="Garamond" w:hAnsi="Garamond"/>
                <w:sz w:val="22"/>
                <w:szCs w:val="22"/>
              </w:rPr>
            </w:pPr>
          </w:p>
          <w:p w:rsidR="002A265C" w:rsidRPr="002A265C" w:rsidRDefault="002A265C" w:rsidP="002A265C">
            <w:pPr>
              <w:jc w:val="center"/>
              <w:rPr>
                <w:rFonts w:ascii="Garamond" w:hAnsi="Garamond"/>
                <w:spacing w:val="4"/>
                <w:sz w:val="22"/>
                <w:szCs w:val="22"/>
              </w:rPr>
            </w:pPr>
            <w:r w:rsidRPr="002A265C">
              <w:rPr>
                <w:rFonts w:ascii="Garamond" w:hAnsi="Garamond"/>
                <w:sz w:val="22"/>
                <w:szCs w:val="22"/>
              </w:rPr>
              <w:t>NO</w:t>
            </w:r>
          </w:p>
          <w:p w:rsidR="002A265C" w:rsidRPr="002A265C" w:rsidRDefault="002A265C" w:rsidP="002A265C">
            <w:pPr>
              <w:jc w:val="center"/>
              <w:rPr>
                <w:rFonts w:ascii="Garamond" w:hAnsi="Garamond"/>
                <w:spacing w:val="4"/>
                <w:sz w:val="22"/>
                <w:szCs w:val="22"/>
              </w:rPr>
            </w:pPr>
            <w:r w:rsidRPr="002A265C">
              <w:rPr>
                <w:rFonts w:ascii="Garamond" w:hAnsi="Garamond"/>
                <w:sz w:val="22"/>
                <w:szCs w:val="22"/>
              </w:rPr>
              <w:t> </w:t>
            </w:r>
          </w:p>
          <w:p w:rsidR="002A265C" w:rsidRPr="002A265C" w:rsidRDefault="002A265C" w:rsidP="002A265C">
            <w:pPr>
              <w:jc w:val="center"/>
              <w:rPr>
                <w:rFonts w:ascii="Garamond" w:hAnsi="Garamond"/>
                <w:spacing w:val="4"/>
                <w:sz w:val="22"/>
                <w:szCs w:val="22"/>
              </w:rPr>
            </w:pPr>
            <w:r w:rsidRPr="002A265C">
              <w:rPr>
                <w:rFonts w:ascii="Garamond" w:hAnsi="Garamond"/>
                <w:sz w:val="22"/>
                <w:szCs w:val="22"/>
              </w:rPr>
              <w:t> </w:t>
            </w:r>
          </w:p>
          <w:p w:rsidR="002A265C" w:rsidRPr="002A265C" w:rsidRDefault="002A265C" w:rsidP="002A265C">
            <w:pPr>
              <w:jc w:val="center"/>
              <w:rPr>
                <w:rFonts w:ascii="Garamond" w:hAnsi="Garamond"/>
                <w:spacing w:val="4"/>
                <w:sz w:val="22"/>
                <w:szCs w:val="22"/>
              </w:rPr>
            </w:pPr>
            <w:r w:rsidRPr="002A265C">
              <w:rPr>
                <w:rFonts w:ascii="Garamond" w:hAnsi="Garamond"/>
                <w:sz w:val="22"/>
                <w:szCs w:val="22"/>
              </w:rPr>
              <w:t> </w:t>
            </w:r>
          </w:p>
          <w:p w:rsidR="002A265C" w:rsidRPr="002A265C" w:rsidRDefault="002A265C" w:rsidP="002A265C">
            <w:pPr>
              <w:jc w:val="center"/>
              <w:rPr>
                <w:rFonts w:ascii="Garamond" w:hAnsi="Garamond"/>
                <w:spacing w:val="4"/>
                <w:sz w:val="22"/>
                <w:szCs w:val="22"/>
              </w:rPr>
            </w:pPr>
            <w:r w:rsidRPr="002A265C">
              <w:rPr>
                <w:rFonts w:ascii="Garamond" w:hAnsi="Garamond"/>
                <w:sz w:val="22"/>
                <w:szCs w:val="22"/>
              </w:rPr>
              <w:t> </w:t>
            </w:r>
          </w:p>
          <w:p w:rsidR="002A265C" w:rsidRPr="002A265C" w:rsidRDefault="002A265C" w:rsidP="002A265C">
            <w:pPr>
              <w:jc w:val="center"/>
              <w:rPr>
                <w:rFonts w:ascii="Garamond" w:hAnsi="Garamond"/>
                <w:spacing w:val="4"/>
                <w:sz w:val="22"/>
                <w:szCs w:val="22"/>
              </w:rPr>
            </w:pPr>
            <w:r w:rsidRPr="002A265C">
              <w:rPr>
                <w:rFonts w:ascii="Garamond" w:hAnsi="Garamond"/>
                <w:sz w:val="22"/>
                <w:szCs w:val="22"/>
              </w:rPr>
              <w:t> </w:t>
            </w:r>
          </w:p>
          <w:p w:rsidR="002A265C" w:rsidRPr="002A265C" w:rsidRDefault="002A265C" w:rsidP="002A265C">
            <w:pPr>
              <w:jc w:val="center"/>
              <w:rPr>
                <w:rFonts w:ascii="Garamond" w:hAnsi="Garamond"/>
                <w:spacing w:val="4"/>
                <w:sz w:val="22"/>
                <w:szCs w:val="22"/>
              </w:rPr>
            </w:pPr>
            <w:r w:rsidRPr="002A265C">
              <w:rPr>
                <w:rFonts w:ascii="Garamond" w:hAnsi="Garamond"/>
                <w:sz w:val="22"/>
                <w:szCs w:val="22"/>
              </w:rPr>
              <w:t> </w:t>
            </w:r>
          </w:p>
          <w:p w:rsidR="002A265C" w:rsidRPr="002A265C" w:rsidRDefault="002A265C" w:rsidP="002A265C">
            <w:pPr>
              <w:jc w:val="center"/>
              <w:rPr>
                <w:rFonts w:ascii="Garamond" w:hAnsi="Garamond"/>
                <w:spacing w:val="4"/>
                <w:sz w:val="22"/>
                <w:szCs w:val="22"/>
              </w:rPr>
            </w:pPr>
            <w:r w:rsidRPr="002A265C">
              <w:rPr>
                <w:rFonts w:ascii="Garamond" w:hAnsi="Garamond"/>
                <w:sz w:val="22"/>
                <w:szCs w:val="22"/>
              </w:rPr>
              <w:t> </w:t>
            </w:r>
          </w:p>
          <w:p w:rsidR="002A265C" w:rsidRPr="002A265C" w:rsidRDefault="002A265C" w:rsidP="002A265C">
            <w:pPr>
              <w:jc w:val="center"/>
              <w:rPr>
                <w:rFonts w:ascii="Garamond" w:hAnsi="Garamond"/>
                <w:spacing w:val="4"/>
                <w:sz w:val="22"/>
                <w:szCs w:val="22"/>
              </w:rPr>
            </w:pPr>
            <w:r w:rsidRPr="002A265C">
              <w:rPr>
                <w:rFonts w:ascii="Garamond" w:hAnsi="Garamond"/>
                <w:sz w:val="22"/>
                <w:szCs w:val="22"/>
              </w:rPr>
              <w:t> </w:t>
            </w:r>
          </w:p>
          <w:p w:rsidR="002A265C" w:rsidRPr="002A265C" w:rsidRDefault="002A265C" w:rsidP="002A265C">
            <w:pPr>
              <w:jc w:val="center"/>
              <w:rPr>
                <w:rFonts w:ascii="Garamond" w:hAnsi="Garamond"/>
                <w:spacing w:val="4"/>
                <w:sz w:val="22"/>
                <w:szCs w:val="22"/>
              </w:rPr>
            </w:pPr>
            <w:r w:rsidRPr="002A265C">
              <w:rPr>
                <w:rFonts w:ascii="Garamond" w:hAnsi="Garamond"/>
                <w:sz w:val="22"/>
                <w:szCs w:val="22"/>
              </w:rPr>
              <w:t> </w:t>
            </w:r>
          </w:p>
        </w:tc>
        <w:tc>
          <w:tcPr>
            <w:tcW w:w="8107" w:type="dxa"/>
            <w:tcBorders>
              <w:top w:val="nil"/>
              <w:left w:val="nil"/>
              <w:bottom w:val="single" w:sz="8" w:space="0" w:color="auto"/>
              <w:right w:val="single" w:sz="8" w:space="0" w:color="auto"/>
            </w:tcBorders>
            <w:shd w:val="clear" w:color="auto" w:fill="FFF5EE"/>
            <w:tcMar>
              <w:top w:w="0" w:type="dxa"/>
              <w:left w:w="115" w:type="dxa"/>
              <w:bottom w:w="0" w:type="dxa"/>
              <w:right w:w="115" w:type="dxa"/>
            </w:tcMar>
            <w:hideMark/>
          </w:tcPr>
          <w:p w:rsidR="00217B32" w:rsidRDefault="00217B32" w:rsidP="002A265C">
            <w:pPr>
              <w:jc w:val="both"/>
              <w:rPr>
                <w:rFonts w:ascii="Garamond" w:hAnsi="Garamond"/>
                <w:sz w:val="22"/>
                <w:szCs w:val="22"/>
              </w:rPr>
            </w:pPr>
          </w:p>
          <w:p w:rsidR="002A265C" w:rsidRPr="002A265C" w:rsidRDefault="002A265C" w:rsidP="00217B32">
            <w:pPr>
              <w:rPr>
                <w:rFonts w:ascii="Garamond" w:hAnsi="Garamond"/>
                <w:spacing w:val="4"/>
                <w:sz w:val="22"/>
                <w:szCs w:val="22"/>
              </w:rPr>
            </w:pPr>
            <w:r w:rsidRPr="002A265C">
              <w:rPr>
                <w:rFonts w:ascii="Garamond" w:hAnsi="Garamond"/>
                <w:sz w:val="22"/>
                <w:szCs w:val="22"/>
              </w:rPr>
              <w:t>This amendment would dedicate moneys collected by the State relating to natural resource damages</w:t>
            </w:r>
            <w:r w:rsidRPr="002A265C">
              <w:rPr>
                <w:rFonts w:ascii="Garamond" w:hAnsi="Garamond" w:cs="Arial"/>
                <w:b/>
                <w:bCs/>
                <w:spacing w:val="4"/>
                <w:sz w:val="22"/>
                <w:szCs w:val="22"/>
                <w:vertAlign w:val="superscript"/>
              </w:rPr>
              <w:t> </w:t>
            </w:r>
            <w:r w:rsidRPr="002A265C">
              <w:rPr>
                <w:rFonts w:ascii="Garamond" w:hAnsi="Garamond"/>
                <w:sz w:val="22"/>
                <w:szCs w:val="22"/>
              </w:rPr>
              <w:t>through settlements or awards for legal claims based on environmental contamination.  These moneys would be dedicated to repair, replace, or restore damaged natural resources, or to preserve the State’s natural resources. The moneys would be spent in an area as close as possible to the geographical area in which the damage occurred.  The moneys could also include cleaning contaminated sites and underground storage tank sites, funding water quality programs, or preserving open space, farmland, or historic buildings or sites be used to pay for  the State’s legal or other costs in pursuing the claims. Currently, these moneys may be used for any State purpose.</w:t>
            </w:r>
          </w:p>
        </w:tc>
      </w:tr>
    </w:tbl>
    <w:p w:rsidR="002A265C" w:rsidRPr="002A265C" w:rsidRDefault="002A265C" w:rsidP="002A265C">
      <w:pPr>
        <w:rPr>
          <w:rFonts w:ascii="Garamond" w:hAnsi="Garamond"/>
          <w:sz w:val="22"/>
          <w:szCs w:val="22"/>
        </w:rPr>
      </w:pPr>
    </w:p>
    <w:p w:rsidR="002A265C" w:rsidRPr="002A265C" w:rsidRDefault="002A265C">
      <w:pPr>
        <w:rPr>
          <w:rFonts w:ascii="Garamond" w:hAnsi="Garamond"/>
          <w:sz w:val="22"/>
          <w:szCs w:val="22"/>
        </w:rPr>
      </w:pPr>
    </w:p>
    <w:sectPr w:rsidR="002A265C" w:rsidRPr="002A265C" w:rsidSect="00217B32">
      <w:pgSz w:w="12240" w:h="15840"/>
      <w:pgMar w:top="576" w:right="1296"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5C"/>
    <w:rsid w:val="000D0127"/>
    <w:rsid w:val="00163BA9"/>
    <w:rsid w:val="001B7CF1"/>
    <w:rsid w:val="001D27AB"/>
    <w:rsid w:val="00214F35"/>
    <w:rsid w:val="00217B32"/>
    <w:rsid w:val="002A265C"/>
    <w:rsid w:val="002D4841"/>
    <w:rsid w:val="0032703D"/>
    <w:rsid w:val="003B3C8A"/>
    <w:rsid w:val="003E45E9"/>
    <w:rsid w:val="0041789C"/>
    <w:rsid w:val="0042613F"/>
    <w:rsid w:val="00466FE2"/>
    <w:rsid w:val="00513EDD"/>
    <w:rsid w:val="005813EE"/>
    <w:rsid w:val="005A0BE1"/>
    <w:rsid w:val="005A4027"/>
    <w:rsid w:val="00601449"/>
    <w:rsid w:val="00751FCB"/>
    <w:rsid w:val="007C7CB3"/>
    <w:rsid w:val="007D5E6A"/>
    <w:rsid w:val="008279F2"/>
    <w:rsid w:val="008566E0"/>
    <w:rsid w:val="008D4246"/>
    <w:rsid w:val="009333AD"/>
    <w:rsid w:val="009567E4"/>
    <w:rsid w:val="009616D4"/>
    <w:rsid w:val="00981BBB"/>
    <w:rsid w:val="009B4265"/>
    <w:rsid w:val="009C243A"/>
    <w:rsid w:val="009C55F5"/>
    <w:rsid w:val="009D775F"/>
    <w:rsid w:val="00A2758C"/>
    <w:rsid w:val="00B77245"/>
    <w:rsid w:val="00B921B1"/>
    <w:rsid w:val="00BE6739"/>
    <w:rsid w:val="00CB67AC"/>
    <w:rsid w:val="00D1152A"/>
    <w:rsid w:val="00D933D0"/>
    <w:rsid w:val="00DF0ACD"/>
    <w:rsid w:val="00E95E05"/>
    <w:rsid w:val="00EE7C67"/>
    <w:rsid w:val="00EF22F0"/>
    <w:rsid w:val="00F7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5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65C"/>
    <w:rPr>
      <w:rFonts w:ascii="Tahoma" w:hAnsi="Tahoma" w:cs="Tahoma"/>
      <w:sz w:val="16"/>
      <w:szCs w:val="16"/>
    </w:rPr>
  </w:style>
  <w:style w:type="character" w:customStyle="1" w:styleId="BalloonTextChar">
    <w:name w:val="Balloon Text Char"/>
    <w:basedOn w:val="DefaultParagraphFont"/>
    <w:link w:val="BalloonText"/>
    <w:uiPriority w:val="99"/>
    <w:semiHidden/>
    <w:rsid w:val="002A26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5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65C"/>
    <w:rPr>
      <w:rFonts w:ascii="Tahoma" w:hAnsi="Tahoma" w:cs="Tahoma"/>
      <w:sz w:val="16"/>
      <w:szCs w:val="16"/>
    </w:rPr>
  </w:style>
  <w:style w:type="character" w:customStyle="1" w:styleId="BalloonTextChar">
    <w:name w:val="Balloon Text Char"/>
    <w:basedOn w:val="DefaultParagraphFont"/>
    <w:link w:val="BalloonText"/>
    <w:uiPriority w:val="99"/>
    <w:semiHidden/>
    <w:rsid w:val="002A26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1117</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modelprofile</dc:creator>
  <cp:lastModifiedBy>modelprofile</cp:lastModifiedBy>
  <cp:revision>1</cp:revision>
  <dcterms:created xsi:type="dcterms:W3CDTF">2017-10-04T20:17:00Z</dcterms:created>
  <dcterms:modified xsi:type="dcterms:W3CDTF">2017-10-05T15:31:00Z</dcterms:modified>
</cp:coreProperties>
</file>